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rFonts w:ascii="Calibri" w:cs="Calibri" w:eastAsia="Calibri" w:hAnsi="Calibri"/>
          <w:caps/>
          <w:color w:val="595959"/>
          <w:sz w:val="18"/>
          <w:szCs w:val="18"/>
        </w:rPr>
        <w:t xml:space="preserve">REPUBBLICA ITALIANA</w:t>
      </w:r>
    </w:p>
    <w:p>
      <w:pPr>
        <w:spacing w:after="60"/>
        <w:jc w:val="center"/>
      </w:pPr>
      <w:r>
        <w:rPr>
          <w:rFonts w:ascii="Georgia" w:cs="Georgia" w:eastAsia="Georgia" w:hAnsi="Georgia"/>
          <w:b/>
          <w:bCs/>
          <w:color w:val="1F3864"/>
          <w:sz w:val="30"/>
          <w:szCs w:val="30"/>
        </w:rPr>
        <w:t xml:space="preserve">LEGGE 30 dicembre 2024, n. 207</w:t>
      </w:r>
    </w:p>
    <w:p>
      <w:pPr>
        <w:spacing w:after="60"/>
        <w:jc w:val="center"/>
      </w:pPr>
      <w:r>
        <w:rPr>
          <w:rFonts w:ascii="Georgia" w:cs="Georgia" w:eastAsia="Georgia" w:hAnsi="Georgia"/>
          <w:i/>
          <w:iCs/>
          <w:color w:val="595959"/>
          <w:sz w:val="22"/>
          <w:szCs w:val="22"/>
        </w:rPr>
        <w:t xml:space="preserve">Bilancio di previsione dello Stato per l'anno finanziario 2025 e bilancio pluriennale per il triennio 2025-2027 («Legge di Bilancio 2025»)</w:t>
      </w:r>
    </w:p>
    <w:p>
      <w:pPr>
        <w:spacing w:after="40"/>
        <w:jc w:val="center"/>
      </w:pPr>
      <w:r>
        <w:rPr>
          <w:rFonts w:ascii="Calibri" w:cs="Calibri" w:eastAsia="Calibri" w:hAnsi="Calibri"/>
          <w:color w:val="595959"/>
          <w:sz w:val="18"/>
          <w:szCs w:val="18"/>
        </w:rPr>
        <w:t xml:space="preserve">Pubblicata nella Gazzetta Ufficiale della Repubblica Italiana – Serie Generale n. 305 del 31 dicembre 2024 (Suppl. Ordinario).</w:t>
      </w:r>
    </w:p>
    <w:p>
      <w:pPr>
        <w:spacing w:after="40"/>
        <w:jc w:val="center"/>
      </w:pPr>
      <w:r>
        <w:rPr>
          <w:rFonts w:ascii="Calibri" w:cs="Calibri" w:eastAsia="Calibri" w:hAnsi="Calibri"/>
          <w:color w:val="595959"/>
          <w:sz w:val="18"/>
          <w:szCs w:val="18"/>
        </w:rPr>
        <w:t xml:space="preserve">In vigore dal 1° gennaio 2025.</w:t>
      </w:r>
    </w:p>
    <w:p>
      <w:pPr>
        <w:pBdr>
          <w:bottom w:val="single" w:color="1F3864" w:sz="12" w:space="6"/>
        </w:pBdr>
        <w:spacing w:after="60" w:before="60"/>
      </w:pPr>
      <w:r>
        <w:t xml:space="preserve"/>
      </w:r>
    </w:p>
    <w:p>
      <w:pPr>
        <w:spacing w:after="40"/>
      </w:pPr>
      <w:r>
        <w:rPr>
          <w:rFonts w:ascii="Calibri" w:cs="Calibri" w:eastAsia="Calibri" w:hAnsi="Calibri"/>
          <w:i/>
          <w:iCs/>
          <w:color w:val="595959"/>
          <w:sz w:val="20"/>
          <w:szCs w:val="20"/>
        </w:rPr>
        <w:t xml:space="preserve">Estratto dei commi 636–641 dell'articolo 1, in materia di contributi per il riconoscimento della cittadinanza italiana e per certificati o estratti di stato civile. Testo dei commi 636–639 riprodotto nella redazione ufficiale; commi 640–641 riportati in sintesi.</w:t>
      </w:r>
    </w:p>
    <w:p>
      <w:pPr>
        <w:pBdr>
          <w:bottom w:val="single" w:color="BFBFBF" w:sz="4" w:space="8"/>
        </w:pBdr>
        <w:spacing w:after="120" w:before="260"/>
      </w:pPr>
      <w:r>
        <w:rPr>
          <w:rFonts w:ascii="Georgia" w:cs="Georgia" w:eastAsia="Georgia" w:hAnsi="Georgia"/>
          <w:b/>
          <w:bCs/>
          <w:color w:val="1F3864"/>
          <w:sz w:val="24"/>
          <w:szCs w:val="24"/>
        </w:rPr>
        <w:t xml:space="preserve">Articolo 1</w:t>
      </w:r>
    </w:p>
    <w:p>
      <w:pPr>
        <w:spacing w:after="60" w:before="160"/>
      </w:pPr>
      <w:r>
        <w:rPr>
          <w:rFonts w:ascii="Calibri" w:cs="Calibri" w:eastAsia="Calibri" w:hAnsi="Calibri"/>
          <w:b/>
          <w:bCs/>
          <w:color w:val="1F3864"/>
          <w:sz w:val="22"/>
          <w:szCs w:val="22"/>
        </w:rPr>
        <w:t xml:space="preserve">636.  </w:t>
      </w:r>
      <w:r>
        <w:rPr>
          <w:rFonts w:ascii="Calibri" w:cs="Calibri" w:eastAsia="Calibri" w:hAnsi="Calibri"/>
          <w:sz w:val="22"/>
          <w:szCs w:val="22"/>
        </w:rPr>
        <w:t xml:space="preserve">I comuni possono assoggettare le domande di riconoscimento della cittadinanza italiana presentate ai sensi degli articoli 1, 2, 3 e 14 della legge 5 febbraio 1992, n. 91, o degli articoli 1, 2, 7, 10, 11 e 12 della legge 13 giugno 1912, n. 555, al pagamento di un contributo amministrativo in misura non superiore a euro 600 per ciascun richiedente maggiorenne. Il primo periodo non si applica alle domande presentate per il tramite degli uffici consolari, soggette esclusivamente ai diritti consolari di cui al decreto legislativo 3 febbraio 2011, n. 71.</w:t>
      </w:r>
    </w:p>
    <w:p>
      <w:pPr>
        <w:spacing w:after="80"/>
        <w:ind w:left="360"/>
      </w:pPr>
      <w:r>
        <w:rPr>
          <w:rFonts w:ascii="Calibri" w:cs="Calibri" w:eastAsia="Calibri" w:hAnsi="Calibri"/>
          <w:b/>
          <w:bCs/>
          <w:i/>
          <w:iCs/>
          <w:color w:val="595959"/>
          <w:sz w:val="20"/>
          <w:szCs w:val="20"/>
        </w:rPr>
        <w:t xml:space="preserve">Traducción — </w:t>
      </w:r>
      <w:r>
        <w:rPr>
          <w:rFonts w:ascii="Calibri" w:cs="Calibri" w:eastAsia="Calibri" w:hAnsi="Calibri"/>
          <w:i/>
          <w:iCs/>
          <w:color w:val="595959"/>
          <w:sz w:val="20"/>
          <w:szCs w:val="20"/>
        </w:rPr>
        <w:t xml:space="preserve">Los municipios pueden someter las solicitudes de reconocimiento de la ciudadanía italiana presentadas conforme a los artículos 1, 2, 3 y 14 de la ley 5 de febrero de 1992, n. 91, o a los artículos 1, 2, 7, 10, 11 y 12 de la ley 13 de junio de 1912, n. 555, al pago de una tasa administrativa no superior a 600 euros por cada solicitante mayor de edad. El primer período no se aplica a las solicitudes presentadas a través de los consulados, sujetas exclusivamente a los derechos consulares del decreto legislativo 3 de febrero de 2011, n. 71.</w:t>
      </w:r>
    </w:p>
    <w:p>
      <w:pPr>
        <w:spacing w:after="60" w:before="160"/>
      </w:pPr>
      <w:r>
        <w:rPr>
          <w:rFonts w:ascii="Calibri" w:cs="Calibri" w:eastAsia="Calibri" w:hAnsi="Calibri"/>
          <w:b/>
          <w:bCs/>
          <w:color w:val="1F3864"/>
          <w:sz w:val="22"/>
          <w:szCs w:val="22"/>
        </w:rPr>
        <w:t xml:space="preserve">637.  </w:t>
      </w:r>
      <w:r>
        <w:rPr>
          <w:rFonts w:ascii="Calibri" w:cs="Calibri" w:eastAsia="Calibri" w:hAnsi="Calibri"/>
          <w:sz w:val="22"/>
          <w:szCs w:val="22"/>
        </w:rPr>
        <w:t xml:space="preserve">I comuni possono assoggettare le richieste di certificati o di estratti di stato civile formati da oltre un secolo e relativi a persone diverse dal richiedente al pagamento di un contributo amministrativo in misura non superiore a euro 300 per ciascun atto.</w:t>
      </w:r>
    </w:p>
    <w:p>
      <w:pPr>
        <w:spacing w:after="80"/>
        <w:ind w:left="360"/>
      </w:pPr>
      <w:r>
        <w:rPr>
          <w:rFonts w:ascii="Calibri" w:cs="Calibri" w:eastAsia="Calibri" w:hAnsi="Calibri"/>
          <w:b/>
          <w:bCs/>
          <w:i/>
          <w:iCs/>
          <w:color w:val="595959"/>
          <w:sz w:val="20"/>
          <w:szCs w:val="20"/>
        </w:rPr>
        <w:t xml:space="preserve">Traducción — </w:t>
      </w:r>
      <w:r>
        <w:rPr>
          <w:rFonts w:ascii="Calibri" w:cs="Calibri" w:eastAsia="Calibri" w:hAnsi="Calibri"/>
          <w:i/>
          <w:iCs/>
          <w:color w:val="595959"/>
          <w:sz w:val="20"/>
          <w:szCs w:val="20"/>
        </w:rPr>
        <w:t xml:space="preserve">Los municipios pueden someter las solicitudes de certificados o extractos de estado civil formados hace más de un siglo y relativos a personas distintas del solicitante al pago de una tasa administrativa no superior a 300 euros por cada acta.</w:t>
      </w:r>
    </w:p>
    <w:p>
      <w:pPr>
        <w:spacing w:after="60" w:before="160"/>
      </w:pPr>
      <w:r>
        <w:rPr>
          <w:rFonts w:ascii="Calibri" w:cs="Calibri" w:eastAsia="Calibri" w:hAnsi="Calibri"/>
          <w:b/>
          <w:bCs/>
          <w:color w:val="1F3864"/>
          <w:sz w:val="22"/>
          <w:szCs w:val="22"/>
        </w:rPr>
        <w:t xml:space="preserve">638.  </w:t>
      </w:r>
      <w:r>
        <w:rPr>
          <w:rFonts w:ascii="Calibri" w:cs="Calibri" w:eastAsia="Calibri" w:hAnsi="Calibri"/>
          <w:sz w:val="22"/>
          <w:szCs w:val="22"/>
        </w:rPr>
        <w:t xml:space="preserve">Le domande di cui ai commi 636 e 637 presentate ai comuni sono improcedibili in caso di mancato o inesatto pagamento dei contributi ivi previsti nei termini stabiliti dal comune conformemente al proprio ordinamento. I contributi riscossi ai sensi dei commi 636 e 637 sono integralmente acquisiti al bilancio del comune. Restano ferme le disposizioni vigenti in materia di imposta di bollo.</w:t>
      </w:r>
    </w:p>
    <w:p>
      <w:pPr>
        <w:spacing w:after="80"/>
        <w:ind w:left="360"/>
      </w:pPr>
      <w:r>
        <w:rPr>
          <w:rFonts w:ascii="Calibri" w:cs="Calibri" w:eastAsia="Calibri" w:hAnsi="Calibri"/>
          <w:b/>
          <w:bCs/>
          <w:i/>
          <w:iCs/>
          <w:color w:val="595959"/>
          <w:sz w:val="20"/>
          <w:szCs w:val="20"/>
        </w:rPr>
        <w:t xml:space="preserve">Traducción — </w:t>
      </w:r>
      <w:r>
        <w:rPr>
          <w:rFonts w:ascii="Calibri" w:cs="Calibri" w:eastAsia="Calibri" w:hAnsi="Calibri"/>
          <w:i/>
          <w:iCs/>
          <w:color w:val="595959"/>
          <w:sz w:val="20"/>
          <w:szCs w:val="20"/>
        </w:rPr>
        <w:t xml:space="preserve">Las solicitudes previstas en los commi 636 y 637 presentadas ante los municipios serán improcedentes en caso de falta de pago o pago inexacto de las tasas allí previstas, en los plazos establecidos por el municipio conforme a su ordenamiento. Las tasas recaudadas conforme a los commi 636 y 637 se destinan íntegramente al presupuesto del municipio. Quedan vigentes las disposiciones en materia de impuesto de sello.</w:t>
      </w:r>
    </w:p>
    <w:p>
      <w:pPr>
        <w:spacing w:after="60" w:before="160"/>
      </w:pPr>
      <w:r>
        <w:rPr>
          <w:rFonts w:ascii="Calibri" w:cs="Calibri" w:eastAsia="Calibri" w:hAnsi="Calibri"/>
          <w:b/>
          <w:bCs/>
          <w:color w:val="1F3864"/>
          <w:sz w:val="22"/>
          <w:szCs w:val="22"/>
        </w:rPr>
        <w:t xml:space="preserve">639.  </w:t>
      </w:r>
      <w:r>
        <w:rPr>
          <w:rFonts w:ascii="Calibri" w:cs="Calibri" w:eastAsia="Calibri" w:hAnsi="Calibri"/>
          <w:sz w:val="22"/>
          <w:szCs w:val="22"/>
        </w:rPr>
        <w:t xml:space="preserve">All'articolo 7-bis della sezione I della tabella dei diritti consolari da riscuotersi dagli uffici diplomatici e consolari, allegata al decreto legislativo 3 febbraio 2011, n. 71, le parole: «euro 300,00» sono sostituite dalle seguenti: «euro 600,00».</w:t>
      </w:r>
    </w:p>
    <w:p>
      <w:pPr>
        <w:spacing w:after="80"/>
        <w:ind w:left="360"/>
      </w:pPr>
      <w:r>
        <w:rPr>
          <w:rFonts w:ascii="Calibri" w:cs="Calibri" w:eastAsia="Calibri" w:hAnsi="Calibri"/>
          <w:b/>
          <w:bCs/>
          <w:i/>
          <w:iCs/>
          <w:color w:val="595959"/>
          <w:sz w:val="20"/>
          <w:szCs w:val="20"/>
        </w:rPr>
        <w:t xml:space="preserve">Traducción — </w:t>
      </w:r>
      <w:r>
        <w:rPr>
          <w:rFonts w:ascii="Calibri" w:cs="Calibri" w:eastAsia="Calibri" w:hAnsi="Calibri"/>
          <w:i/>
          <w:iCs/>
          <w:color w:val="595959"/>
          <w:sz w:val="20"/>
          <w:szCs w:val="20"/>
        </w:rPr>
        <w:t xml:space="preserve">En el artículo 7-bis de la sección I de la tabla de derechos consulares a percibir por las oficinas diplomáticas y consulares, anexa al decreto legislativo 3 de febrero de 2011, n. 71, las palabras «euro 300,00» se sustituyen por las siguientes: «euro 600,00».</w:t>
      </w:r>
    </w:p>
    <w:p>
      <w:pPr>
        <w:spacing w:after="40" w:before="20"/>
      </w:pPr>
      <w:r>
        <w:rPr>
          <w:rFonts w:ascii="Calibri" w:cs="Calibri" w:eastAsia="Calibri" w:hAnsi="Calibri"/>
          <w:b/>
          <w:bCs/>
          <w:i/>
          <w:iCs/>
          <w:color w:val="595959"/>
          <w:sz w:val="18"/>
          <w:szCs w:val="18"/>
        </w:rPr>
        <w:t xml:space="preserve">Nota: </w:t>
      </w:r>
      <w:r>
        <w:rPr>
          <w:rFonts w:ascii="Calibri" w:cs="Calibri" w:eastAsia="Calibri" w:hAnsi="Calibri"/>
          <w:i/>
          <w:iCs/>
          <w:color w:val="595959"/>
          <w:sz w:val="18"/>
          <w:szCs w:val="18"/>
        </w:rPr>
        <w:t xml:space="preserve">el artículo 7-bis fija el derecho consular por el tratamiento de la solicitud de reconocimiento de la ciudadanía italiana de persona mayor de edad; el comma 639 lo eleva de 300 a 600 euros.</w:t>
      </w:r>
    </w:p>
    <w:p>
      <w:pPr>
        <w:spacing w:after="100" w:before="220"/>
      </w:pPr>
      <w:r>
        <w:rPr>
          <w:rFonts w:ascii="Calibri" w:cs="Calibri" w:eastAsia="Calibri" w:hAnsi="Calibri"/>
          <w:b/>
          <w:bCs/>
          <w:color w:val="1F3864"/>
          <w:sz w:val="22"/>
          <w:szCs w:val="22"/>
        </w:rPr>
        <w:t xml:space="preserve">Commi 640 e 641 — síntesis del contenido</w:t>
      </w:r>
    </w:p>
    <w:p>
      <w:pPr>
        <w:spacing w:after="80"/>
      </w:pPr>
      <w:r>
        <w:rPr>
          <w:rFonts w:ascii="Calibri" w:cs="Calibri" w:eastAsia="Calibri" w:hAnsi="Calibri"/>
          <w:b/>
          <w:bCs/>
          <w:color w:val="1F3864"/>
          <w:sz w:val="22"/>
          <w:szCs w:val="22"/>
        </w:rPr>
        <w:t xml:space="preserve">640.  </w:t>
      </w:r>
      <w:r>
        <w:rPr>
          <w:rFonts w:ascii="Calibri" w:cs="Calibri" w:eastAsia="Calibri" w:hAnsi="Calibri"/>
          <w:sz w:val="22"/>
          <w:szCs w:val="22"/>
        </w:rPr>
        <w:t xml:space="preserve">Regula la redistribución de lo recaudado por el derecho consular del art. 7-bis: se reasigna al Ministerio de Asuntos Exteriores y de la Cooperación Internacional (MAECI) el 50% del total de los ingresos —la mitad para el funcionamiento de las oficinas en el exterior y otros gastos de capital, y la mitad para los consulados, en proporción a las tasas recaudadas—. El reparto se determina por decreto del Ministro de Asuntos Exteriores y esas sumas se destinan al refuerzo de los servicios consulares, con prioridad para la contratación de personal local a fin de reducir el atraso en los trámites de ciudadanía presentados ante los consulados.</w:t>
      </w:r>
    </w:p>
    <w:p>
      <w:pPr>
        <w:spacing w:after="80"/>
      </w:pPr>
      <w:r>
        <w:rPr>
          <w:rFonts w:ascii="Calibri" w:cs="Calibri" w:eastAsia="Calibri" w:hAnsi="Calibri"/>
          <w:b/>
          <w:bCs/>
          <w:color w:val="1F3864"/>
          <w:sz w:val="22"/>
          <w:szCs w:val="22"/>
        </w:rPr>
        <w:t xml:space="preserve">641.  </w:t>
      </w:r>
      <w:r>
        <w:rPr>
          <w:rFonts w:ascii="Calibri" w:cs="Calibri" w:eastAsia="Calibri" w:hAnsi="Calibri"/>
          <w:sz w:val="22"/>
          <w:szCs w:val="22"/>
        </w:rPr>
        <w:t xml:space="preserve">Deroga el régimen anterior de reasignación de esos ingresos (artículo 1, comma 429, de la ley n. 232/2016).</w:t>
      </w:r>
    </w:p>
    <w:p>
      <w:pPr>
        <w:spacing w:after="120" w:before="10"/>
      </w:pPr>
      <w:r>
        <w:rPr>
          <w:rFonts w:ascii="Calibri" w:cs="Calibri" w:eastAsia="Calibri" w:hAnsi="Calibri"/>
          <w:i/>
          <w:iCs/>
          <w:color w:val="595959"/>
          <w:sz w:val="18"/>
          <w:szCs w:val="18"/>
        </w:rPr>
        <w:t xml:space="preserve">(El texto íntegro de los commi 640 y 641 puede consultarse en la Gazzetta Ufficiale n. 305 del 31/12/2024 o en Normattiva.)</w:t>
      </w:r>
    </w:p>
    <w:p>
      <w:pPr>
        <w:pBdr>
          <w:top w:val="single" w:color="BFBFBF" w:sz="4" w:space="8"/>
        </w:pBdr>
        <w:spacing w:after="80" w:before="120"/>
      </w:pPr>
      <w:r>
        <w:t xml:space="preserve"/>
      </w:r>
    </w:p>
    <w:p>
      <w:pPr>
        <w:spacing w:after="60"/>
      </w:pPr>
      <w:r>
        <w:rPr>
          <w:rFonts w:ascii="Calibri" w:cs="Calibri" w:eastAsia="Calibri" w:hAnsi="Calibri"/>
          <w:b/>
          <w:bCs/>
          <w:color w:val="1F3864"/>
          <w:sz w:val="20"/>
          <w:szCs w:val="20"/>
        </w:rPr>
        <w:t xml:space="preserve">Advertencia sobre normativa posterior</w:t>
      </w:r>
    </w:p>
    <w:p>
      <w:pPr>
        <w:spacing w:after="40"/>
      </w:pPr>
      <w:r>
        <w:rPr>
          <w:rFonts w:ascii="Calibri" w:cs="Calibri" w:eastAsia="Calibri" w:hAnsi="Calibri"/>
          <w:i/>
          <w:iCs/>
          <w:color w:val="595959"/>
          <w:sz w:val="20"/>
          <w:szCs w:val="20"/>
        </w:rPr>
        <w:t xml:space="preserve">Estos commi presupuestarios (636–641) no fueron modificados en cuanto a las tasas, pero el régimen general de la ciudadanía por descendencia (iure sanguinis) sí cambió con normas posteriores: el decreto-legge 28 de marzo de 2025, n. 36, convertido en la Legge 23 de mayo de 2025, n. 74, y la Legge 19 de enero de 2026, n. 11. Conviene verificar la situación vigente antes de asesorar o iniciar un trámite.</w:t>
      </w:r>
    </w:p>
    <w:p>
      <w:pPr>
        <w:spacing w:after="40" w:before="80"/>
      </w:pPr>
      <w:r>
        <w:rPr>
          <w:rFonts w:ascii="Calibri" w:cs="Calibri" w:eastAsia="Calibri" w:hAnsi="Calibri"/>
          <w:b/>
          <w:bCs/>
          <w:color w:val="595959"/>
          <w:sz w:val="18"/>
          <w:szCs w:val="18"/>
        </w:rPr>
        <w:t xml:space="preserve">Fuentes: </w:t>
      </w:r>
      <w:r>
        <w:rPr>
          <w:rFonts w:ascii="Calibri" w:cs="Calibri" w:eastAsia="Calibri" w:hAnsi="Calibri"/>
          <w:color w:val="595959"/>
          <w:sz w:val="18"/>
          <w:szCs w:val="18"/>
        </w:rPr>
        <w:t xml:space="preserve">Gazzetta Ufficiale (Serie Generale n. 305/2024); Dossier del Senato sobre la Legge di Bilancio 2025; documentación de la Camera dei deputati; nota informativa ANUSCA; deliberaciones municipales que citan el articulado.</w:t>
      </w:r>
    </w:p>
    <w:p>
      <w:pPr>
        <w:spacing w:after="0"/>
      </w:pPr>
      <w:r>
        <w:rPr>
          <w:rFonts w:ascii="Calibri" w:cs="Calibri" w:eastAsia="Calibri" w:hAnsi="Calibri"/>
          <w:i/>
          <w:iCs/>
          <w:color w:val="8C8C8C"/>
          <w:sz w:val="16"/>
          <w:szCs w:val="16"/>
        </w:rPr>
        <w:t xml:space="preserve">Documento de referencia de elaboración propia. No constituye asesoramiento legal.</w:t>
      </w:r>
    </w:p>
    <w:sectPr>
      <w:pgSz w:w="11906" w:h="16838" w:orient="portrait"/>
      <w:pgMar w:top="1134" w:right="1247" w:bottom="1134" w:left="124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Legge 207/2024 — commi 636-641</dc:title>
  <dc:creator>Documento de referencia</dc:creator>
  <cp:lastModifiedBy>Un-named</cp:lastModifiedBy>
  <cp:revision>1</cp:revision>
  <dcterms:created xsi:type="dcterms:W3CDTF">2026-08-16T16:37:56.051Z</dcterms:created>
  <dcterms:modified xsi:type="dcterms:W3CDTF">2026-08-16T16:37:56.064Z</dcterms:modified>
</cp:coreProperties>
</file>

<file path=docProps/custom.xml><?xml version="1.0" encoding="utf-8"?>
<Properties xmlns="http://schemas.openxmlformats.org/officeDocument/2006/custom-properties" xmlns:vt="http://schemas.openxmlformats.org/officeDocument/2006/docPropsVTypes"/>
</file>