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caps/>
          <w:color w:val="595959"/>
          <w:sz w:val="18"/>
          <w:szCs w:val="18"/>
        </w:rPr>
        <w:t xml:space="preserve">REPUBBLICA ITALIANA</w:t>
      </w:r>
    </w:p>
    <w:p>
      <w:pPr>
        <w:spacing w:after="60"/>
        <w:jc w:val="center"/>
      </w:pPr>
      <w:r>
        <w:rPr>
          <w:rFonts w:ascii="Georgia" w:cs="Georgia" w:eastAsia="Georgia" w:hAnsi="Georgia"/>
          <w:b/>
          <w:bCs/>
          <w:color w:val="1F3864"/>
          <w:sz w:val="30"/>
          <w:szCs w:val="30"/>
        </w:rPr>
        <w:t xml:space="preserve">LEGGE 30 dicembre 2025, n. 199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595959"/>
          <w:sz w:val="22"/>
          <w:szCs w:val="22"/>
        </w:rPr>
        <w:t xml:space="preserve">Bilancio di previsione dello Stato per l'anno finanziario 2026 e bilancio pluriennale per il triennio 2026-2028 («Legge di Bilancio 2026»)</w:t>
      </w:r>
    </w:p>
    <w:p>
      <w:pPr>
        <w:spacing w:after="40"/>
        <w:jc w:val="center"/>
      </w:pPr>
      <w:r>
        <w:rPr>
          <w:rFonts w:ascii="Calibri" w:cs="Calibri" w:eastAsia="Calibri" w:hAnsi="Calibri"/>
          <w:color w:val="595959"/>
          <w:sz w:val="18"/>
          <w:szCs w:val="18"/>
        </w:rPr>
        <w:t xml:space="preserve">Pubblicata nella Gazzetta Ufficiale della Repubblica Italiana – Serie Generale n. 301 del 30 dicembre 2025.</w:t>
      </w:r>
    </w:p>
    <w:p>
      <w:pPr>
        <w:spacing w:after="40"/>
        <w:jc w:val="center"/>
      </w:pPr>
      <w:r>
        <w:rPr>
          <w:rFonts w:ascii="Calibri" w:cs="Calibri" w:eastAsia="Calibri" w:hAnsi="Calibri"/>
          <w:color w:val="595959"/>
          <w:sz w:val="18"/>
          <w:szCs w:val="18"/>
        </w:rPr>
        <w:t xml:space="preserve">In vigore dal 1° gennaio 2026.</w:t>
      </w:r>
    </w:p>
    <w:p>
      <w:pPr>
        <w:pBdr>
          <w:bottom w:val="single" w:color="1F3864" w:sz="12" w:space="6"/>
        </w:pBdr>
        <w:spacing w:after="60" w:before="60"/>
      </w:pPr>
      <w:r>
        <w:t xml:space="preserve"/>
      </w:r>
    </w:p>
    <w:p>
      <w:pPr>
        <w:spacing w:after="40" w:before="0"/>
      </w:pPr>
      <w:r>
        <w:rPr>
          <w:rFonts w:ascii="Calibri" w:cs="Calibri" w:eastAsia="Calibri" w:hAnsi="Calibri"/>
          <w:i/>
          <w:iCs/>
          <w:color w:val="595959"/>
          <w:sz w:val="20"/>
          <w:szCs w:val="20"/>
        </w:rPr>
        <w:t xml:space="preserve">Estratto dei commi 513 e 514 dell'articolo 1, in materia di dichiarazione di acquisto della cittadinanza italiana per i figli minori nati all'estero (art. 4, comma 1-bis, lett. b), della legge 5 febbraio 1992, n. 91) e di gratuità delle relative istanze. Testo riprodotto nella redazione ufficiale.</w:t>
      </w:r>
    </w:p>
    <w:p>
      <w:pPr>
        <w:pBdr>
          <w:bottom w:val="single" w:color="BFBFBF" w:sz="4" w:space="8"/>
        </w:pBdr>
        <w:spacing w:after="120" w:before="260"/>
      </w:pPr>
      <w:r>
        <w:rPr>
          <w:rFonts w:ascii="Georgia" w:cs="Georgia" w:eastAsia="Georgia" w:hAnsi="Georgia"/>
          <w:b/>
          <w:bCs/>
          <w:color w:val="1F3864"/>
          <w:sz w:val="24"/>
          <w:szCs w:val="24"/>
        </w:rPr>
        <w:t xml:space="preserve">Articolo 1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513.  </w:t>
      </w:r>
      <w:r>
        <w:rPr>
          <w:rFonts w:ascii="Calibri" w:cs="Calibri" w:eastAsia="Calibri" w:hAnsi="Calibri"/>
          <w:sz w:val="22"/>
          <w:szCs w:val="22"/>
        </w:rPr>
        <w:t xml:space="preserve">Alla legge 5 febbraio 1992, n. 91, sono apportate le seguenti modificazioni:</w:t>
      </w:r>
    </w:p>
    <w:p>
      <w:pPr>
        <w:spacing w:after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a) all'articolo 4, comma 1-bis, lettera b), le parole: «entro un anno» sono sostituite dalle seguenti: «entro tre anni»;</w:t>
      </w:r>
    </w:p>
    <w:p>
      <w:pPr>
        <w:spacing w:after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b) all'articolo 9-bis:</w:t>
      </w:r>
    </w:p>
    <w:p>
      <w:pPr>
        <w:spacing w:after="40"/>
        <w:ind w:left="720"/>
      </w:pPr>
      <w:r>
        <w:rPr>
          <w:rFonts w:ascii="Calibri" w:cs="Calibri" w:eastAsia="Calibri" w:hAnsi="Calibri"/>
          <w:sz w:val="22"/>
          <w:szCs w:val="22"/>
        </w:rPr>
        <w:t xml:space="preserve">1) al comma 2 è aggiunto, in fine, il seguente periodo: «Il presente comma non si applica alle dichiarazioni di cui all'articolo 4, comma 1-bis, lettera b)»;</w:t>
      </w:r>
    </w:p>
    <w:p>
      <w:pPr>
        <w:spacing w:after="40"/>
        <w:ind w:left="720"/>
      </w:pPr>
      <w:r>
        <w:rPr>
          <w:rFonts w:ascii="Calibri" w:cs="Calibri" w:eastAsia="Calibri" w:hAnsi="Calibri"/>
          <w:sz w:val="22"/>
          <w:szCs w:val="22"/>
        </w:rPr>
        <w:t xml:space="preserve">2) al comma 3, le parole: «comma 2» sono sostituite dalle seguenti: «primo periodo del comma 2»;</w:t>
      </w:r>
    </w:p>
    <w:p>
      <w:pPr>
        <w:spacing w:after="40"/>
        <w:ind w:left="720"/>
      </w:pPr>
      <w:r>
        <w:rPr>
          <w:rFonts w:ascii="Calibri" w:cs="Calibri" w:eastAsia="Calibri" w:hAnsi="Calibri"/>
          <w:sz w:val="22"/>
          <w:szCs w:val="22"/>
        </w:rPr>
        <w:t xml:space="preserve">3) dopo il comma 3 è aggiunto il seguente:</w:t>
      </w:r>
    </w:p>
    <w:p>
      <w:pPr>
        <w:spacing w:after="40"/>
        <w:ind w:left="720"/>
      </w:pPr>
      <w:r>
        <w:rPr>
          <w:rFonts w:ascii="Calibri" w:cs="Calibri" w:eastAsia="Calibri" w:hAnsi="Calibri"/>
          <w:sz w:val="22"/>
          <w:szCs w:val="22"/>
        </w:rPr>
        <w:t xml:space="preserve">«3-bis. Tenuto conto di quanto previsto dal secondo periodo del comma 2, è autorizzata la spesa di 1,2 milioni di euro annui a decorrere dall'anno 2026 per il finanziamento di progetti del Dipartimento per le libertà civili e l'immigrazione del Ministero dell'interno, diretti alla collaborazione internazionale e alla cooperazione e assistenza ai Paesi terzi in materia di immigrazione anche attraverso la partecipazione a programmi finanziati dall'Unione europea e alla copertura degli oneri connessi alle attività istruttorie inerenti ai procedimenti di competenza del medesimo Dipartimento in materia di immigrazione, asilo e cittadinanza e ad interventi assistenziali straordinari».</w:t>
      </w:r>
    </w:p>
    <w:p>
      <w:pPr>
        <w:spacing w:after="20"/>
        <w:ind w:left="360"/>
      </w:pPr>
      <w:r>
        <w:rPr>
          <w:rFonts w:ascii="Calibri" w:cs="Calibri" w:eastAsia="Calibri" w:hAnsi="Calibri"/>
          <w:b/>
          <w:bCs/>
          <w:i/>
          <w:iCs/>
          <w:color w:val="595959"/>
          <w:sz w:val="20"/>
          <w:szCs w:val="20"/>
        </w:rPr>
        <w:t xml:space="preserve">Traducción — </w:t>
      </w:r>
      <w:r>
        <w:rPr>
          <w:rFonts w:ascii="Calibri" w:cs="Calibri" w:eastAsia="Calibri" w:hAnsi="Calibri"/>
          <w:i/>
          <w:iCs/>
          <w:color w:val="595959"/>
          <w:sz w:val="20"/>
          <w:szCs w:val="20"/>
        </w:rPr>
        <w:t xml:space="preserve">A la ley 5 de febrero de 1992, n. 91, se le introducen las siguientes modificaciones:</w:t>
      </w:r>
    </w:p>
    <w:p>
      <w:pPr>
        <w:spacing w:after="20"/>
        <w:ind w:left="360"/>
      </w:pPr>
      <w:r>
        <w:rPr>
          <w:rFonts w:ascii="Calibri" w:cs="Calibri" w:eastAsia="Calibri" w:hAnsi="Calibri"/>
          <w:i/>
          <w:iCs/>
          <w:color w:val="595959"/>
          <w:sz w:val="20"/>
          <w:szCs w:val="20"/>
        </w:rPr>
        <w:t xml:space="preserve">a) en el artículo 4, comma 1-bis, letra b), las palabras «dentro de un año» se sustituyen por «dentro de tres años»;</w:t>
      </w:r>
    </w:p>
    <w:p>
      <w:pPr>
        <w:spacing w:after="20"/>
        <w:ind w:left="360"/>
      </w:pPr>
      <w:r>
        <w:rPr>
          <w:rFonts w:ascii="Calibri" w:cs="Calibri" w:eastAsia="Calibri" w:hAnsi="Calibri"/>
          <w:i/>
          <w:iCs/>
          <w:color w:val="595959"/>
          <w:sz w:val="20"/>
          <w:szCs w:val="20"/>
        </w:rPr>
        <w:t xml:space="preserve">b) en el artículo 9-bis:</w:t>
      </w:r>
    </w:p>
    <w:p>
      <w:pPr>
        <w:spacing w:after="20"/>
        <w:ind w:left="720"/>
      </w:pPr>
      <w:r>
        <w:rPr>
          <w:rFonts w:ascii="Calibri" w:cs="Calibri" w:eastAsia="Calibri" w:hAnsi="Calibri"/>
          <w:i/>
          <w:iCs/>
          <w:color w:val="595959"/>
          <w:sz w:val="20"/>
          <w:szCs w:val="20"/>
        </w:rPr>
        <w:t xml:space="preserve">1) al comma 2 se añade, al final, el siguiente período: «El presente comma no se aplica a las declaraciones previstas en el artículo 4, comma 1-bis, letra b)»;</w:t>
      </w:r>
    </w:p>
    <w:p>
      <w:pPr>
        <w:spacing w:after="20"/>
        <w:ind w:left="720"/>
      </w:pPr>
      <w:r>
        <w:rPr>
          <w:rFonts w:ascii="Calibri" w:cs="Calibri" w:eastAsia="Calibri" w:hAnsi="Calibri"/>
          <w:i/>
          <w:iCs/>
          <w:color w:val="595959"/>
          <w:sz w:val="20"/>
          <w:szCs w:val="20"/>
        </w:rPr>
        <w:t xml:space="preserve">2) en el comma 3, las palabras «comma 2» se sustituyen por «primer período del comma 2»;</w:t>
      </w:r>
    </w:p>
    <w:p>
      <w:pPr>
        <w:spacing w:after="80"/>
        <w:ind w:left="720"/>
      </w:pPr>
      <w:r>
        <w:rPr>
          <w:rFonts w:ascii="Calibri" w:cs="Calibri" w:eastAsia="Calibri" w:hAnsi="Calibri"/>
          <w:i/>
          <w:iCs/>
          <w:color w:val="595959"/>
          <w:sz w:val="20"/>
          <w:szCs w:val="20"/>
        </w:rPr>
        <w:t xml:space="preserve">3) después del comma 3 se añade el siguiente: «3-bis. [autorización de gasto de 1,2 millones de euros anuales a partir de 2026 para proyectos del Departamento para las Libertades Civiles y la Inmigración del Ministerio del Interior en materia de inmigración, asilo y ciudadanía, y para actividades de instrucción de los respectivos procedimientos].»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514.  </w:t>
      </w:r>
      <w:r>
        <w:rPr>
          <w:rFonts w:ascii="Calibri" w:cs="Calibri" w:eastAsia="Calibri" w:hAnsi="Calibri"/>
          <w:sz w:val="22"/>
          <w:szCs w:val="22"/>
        </w:rPr>
        <w:t xml:space="preserve">Alla tabella dei diritti consolari da riscuotersi dagli uffici diplomatici e consolari, allegata al decreto legislativo 3 febbraio 2011, n. 71, dopo l'articolo 7-ter è inserito il seguente:</w:t>
      </w:r>
    </w:p>
    <w:p>
      <w:pPr>
        <w:spacing w:after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«Art. 7-quater. – Dichiarazione di cui all'articolo 4, comma 1-bis, lettera b): gratuita».</w:t>
      </w:r>
    </w:p>
    <w:p>
      <w:pPr>
        <w:spacing w:after="20"/>
        <w:ind w:left="360"/>
      </w:pPr>
      <w:r>
        <w:rPr>
          <w:rFonts w:ascii="Calibri" w:cs="Calibri" w:eastAsia="Calibri" w:hAnsi="Calibri"/>
          <w:b/>
          <w:bCs/>
          <w:i/>
          <w:iCs/>
          <w:color w:val="595959"/>
          <w:sz w:val="20"/>
          <w:szCs w:val="20"/>
        </w:rPr>
        <w:t xml:space="preserve">Traducción — </w:t>
      </w:r>
      <w:r>
        <w:rPr>
          <w:rFonts w:ascii="Calibri" w:cs="Calibri" w:eastAsia="Calibri" w:hAnsi="Calibri"/>
          <w:i/>
          <w:iCs/>
          <w:color w:val="595959"/>
          <w:sz w:val="20"/>
          <w:szCs w:val="20"/>
        </w:rPr>
        <w:t xml:space="preserve">A la tabla de derechos consulares a percibir por las oficinas diplomáticas y consulares, anexa al decreto legislativo 3 de febrero de 2011, n. 71, después del artículo 7-ter se inserta el siguiente:</w:t>
      </w:r>
    </w:p>
    <w:p>
      <w:pPr>
        <w:spacing w:after="80"/>
        <w:ind w:left="720"/>
      </w:pPr>
      <w:r>
        <w:rPr>
          <w:rFonts w:ascii="Calibri" w:cs="Calibri" w:eastAsia="Calibri" w:hAnsi="Calibri"/>
          <w:i/>
          <w:iCs/>
          <w:color w:val="595959"/>
          <w:sz w:val="20"/>
          <w:szCs w:val="20"/>
        </w:rPr>
        <w:t xml:space="preserve">«Art. 7-quater. – Declaración prevista en el artículo 4, comma 1-bis, letra b): gratuita».</w:t>
      </w: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Cómo funciona la norma</w:t>
      </w:r>
    </w:p>
    <w:p>
      <w:pPr>
        <w:spacing w:after="60" w:before="0"/>
      </w:pPr>
      <w:r>
        <w:rPr>
          <w:rFonts w:ascii="Calibri" w:cs="Calibri" w:eastAsia="Calibri" w:hAnsi="Calibri"/>
          <w:sz w:val="20"/>
          <w:szCs w:val="20"/>
        </w:rPr>
        <w:t xml:space="preserve">Qué declaración: la del art. 4, comma 1-bis, lett. b) de la Ley 91/1992 (introducido por el DL 28 de marzo de 2025, n. 36, convertido en la Legge 23 de mayo de 2025, n. 74), por la que el padre o la madre italiano por nacimiento declara la voluntad de que el hijo menor nacido en el exterior adquiera la ciudadanía italiana, cuando no hay transmisión automática.</w:t>
      </w:r>
    </w:p>
    <w:p>
      <w:pPr>
        <w:spacing w:after="60" w:before="0"/>
      </w:pPr>
      <w:r>
        <w:rPr>
          <w:rFonts w:ascii="Calibri" w:cs="Calibri" w:eastAsia="Calibri" w:hAnsi="Calibri"/>
          <w:sz w:val="20"/>
          <w:szCs w:val="20"/>
        </w:rPr>
        <w:t xml:space="preserve">Plazo (comma 513, letra a): la declaración puede presentarse hasta tres años desde el nacimiento del menor —o desde la fecha posterior en que se establezca la filiación, incluida la adoptiva—, y ya no solo dentro de un año.</w:t>
      </w:r>
    </w:p>
    <w:p>
      <w:pPr>
        <w:spacing w:after="60" w:before="0"/>
      </w:pPr>
      <w:r>
        <w:rPr>
          <w:rFonts w:ascii="Calibri" w:cs="Calibri" w:eastAsia="Calibri" w:hAnsi="Calibri"/>
          <w:sz w:val="20"/>
          <w:szCs w:val="20"/>
        </w:rPr>
        <w:t xml:space="preserve">Gratuidad en Italia (comma 513, letra b): el aporte de €250 del art. 9-bis, comma 2, de la Ley 91/1992 (a favor del Ministerio del Interior) no se aplica a estas declaraciones.</w:t>
      </w:r>
    </w:p>
    <w:p>
      <w:pPr>
        <w:spacing w:after="60" w:before="0"/>
      </w:pPr>
      <w:r>
        <w:rPr>
          <w:rFonts w:ascii="Calibri" w:cs="Calibri" w:eastAsia="Calibri" w:hAnsi="Calibri"/>
          <w:sz w:val="20"/>
          <w:szCs w:val="20"/>
        </w:rPr>
        <w:t xml:space="preserve">Gratuidad en el consulado (comma 514): se incorpora el nuevo art. 7-quater a la tabla de derechos consulares (d.lgs. 71/2011), fijando como «gratuita» esa misma declaración cuando se presenta ante las oficinas consulares.</w:t>
      </w:r>
    </w:p>
    <w:p>
      <w:pPr>
        <w:spacing w:after="60" w:before="0"/>
      </w:pPr>
      <w:r>
        <w:rPr>
          <w:rFonts w:ascii="Calibri" w:cs="Calibri" w:eastAsia="Calibri" w:hAnsi="Calibri"/>
          <w:sz w:val="20"/>
          <w:szCs w:val="20"/>
        </w:rPr>
        <w:t xml:space="preserve">Vigencia y no retroactividad: rige desde el 1° de enero de 2026 y no es retroactiva; según la circular del Ministerio del Interior n. 889/2026, quedan firmes los aportes de ciudadanía ya pagados hasta esa fecha y no se prevén reembolsos.</w:t>
      </w:r>
    </w:p>
    <w:p>
      <w:pPr>
        <w:pBdr>
          <w:top w:val="single" w:color="BFBFBF" w:sz="4" w:space="8"/>
        </w:pBdr>
        <w:spacing w:after="80" w:before="120"/>
      </w:pPr>
      <w:r>
        <w:t xml:space="preserve"/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Advertencia sobre plazos transitorios</w:t>
      </w:r>
    </w:p>
    <w:p>
      <w:pPr>
        <w:spacing w:after="40" w:before="0"/>
      </w:pPr>
      <w:r>
        <w:rPr>
          <w:rFonts w:ascii="Calibri" w:cs="Calibri" w:eastAsia="Calibri" w:hAnsi="Calibri"/>
          <w:i/>
          <w:iCs/>
          <w:color w:val="595959"/>
          <w:sz w:val="20"/>
          <w:szCs w:val="20"/>
        </w:rPr>
        <w:t xml:space="preserve">Para los menores que ya eran menores de edad al 24/25 de mayo de 2025 existe un régimen transitorio con un plazo propio para presentar la declaración; ese término habría sido prorrogado por normativa posterior (Milleproroghe). Como los plazos transitorios pueden variar, conviene verificar la fecha vigente directamente con el Consulado competente antes de iniciar el trámite.</w:t>
      </w:r>
    </w:p>
    <w:p>
      <w:pPr>
        <w:spacing w:after="20" w:before="0"/>
      </w:pPr>
      <w:r>
        <w:rPr>
          <w:rFonts w:ascii="Calibri" w:cs="Calibri" w:eastAsia="Calibri" w:hAnsi="Calibri"/>
          <w:color w:val="595959"/>
          <w:sz w:val="18"/>
          <w:szCs w:val="18"/>
        </w:rPr>
        <w:t xml:space="preserve">Fuentes: Gazzetta Ufficiale (Serie Generale n. 301 del 30/12/2025); texto de los commi (WikiJus / recopilación del articulado de la L. 199/2025); Circular del Ministero dell'Interno n. 889 del 8/1/2026; comunicados de Consulados y Embajadas de Italia.</w:t>
      </w:r>
    </w:p>
    <w:p>
      <w:pPr>
        <w:spacing w:after="0" w:before="0"/>
      </w:pPr>
      <w:r>
        <w:rPr>
          <w:rFonts w:ascii="Calibri" w:cs="Calibri" w:eastAsia="Calibri" w:hAnsi="Calibri"/>
          <w:i/>
          <w:iCs/>
          <w:color w:val="8C8C8C"/>
          <w:sz w:val="16"/>
          <w:szCs w:val="16"/>
        </w:rPr>
        <w:t xml:space="preserve">Documento de referencia de elaboración propia. No constituye asesoramiento legal.</w:t>
      </w:r>
    </w:p>
    <w:sectPr>
      <w:pgSz w:w="11906" w:h="16838" w:orient="portrait"/>
      <w:pgMar w:top="1134" w:right="1247" w:bottom="1134" w:left="124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Legge 199/2025 — commi 513-514</dc:title>
  <dc:creator>Documento de referencia</dc:creator>
  <cp:lastModifiedBy>Un-named</cp:lastModifiedBy>
  <cp:revision>1</cp:revision>
  <dcterms:created xsi:type="dcterms:W3CDTF">2026-08-16T16:41:43.211Z</dcterms:created>
  <dcterms:modified xsi:type="dcterms:W3CDTF">2026-08-16T16:41:43.225Z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